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1312B">
        <w:rPr>
          <w:sz w:val="22"/>
          <w:szCs w:val="22"/>
        </w:rPr>
        <w:t>31 октября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51312B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51312B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5004">
        <w:rPr>
          <w:rFonts w:ascii="Times New Roman" w:hAnsi="Times New Roman"/>
          <w:b/>
          <w:sz w:val="24"/>
          <w:szCs w:val="24"/>
        </w:rPr>
        <w:t xml:space="preserve">. </w:t>
      </w:r>
      <w:r w:rsidR="00DF5004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51312B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F5004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DF5004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1312B" w:rsidRDefault="0051312B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51312B">
        <w:rPr>
          <w:rFonts w:ascii="Times New Roman" w:hAnsi="Times New Roman"/>
          <w:color w:val="000000"/>
          <w:sz w:val="24"/>
          <w:szCs w:val="24"/>
        </w:rPr>
        <w:t>ООО "ГЕОАВТОМАТИКА", ИНН 77716655804, г. Москва</w:t>
      </w:r>
      <w:r w:rsidR="00172332" w:rsidRPr="0051312B">
        <w:rPr>
          <w:rFonts w:ascii="Times New Roman" w:hAnsi="Times New Roman"/>
          <w:sz w:val="24"/>
          <w:szCs w:val="24"/>
        </w:rPr>
        <w:t xml:space="preserve">, </w:t>
      </w:r>
      <w:r w:rsidR="00F557AC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1. Земляные работы (3.1; 3.2; 3.3; 3.4; 3.5; 3.6; 3.7)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3. Свайные работы. Закрепление грунтов (5.3; 5.4; 5.9)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8. Устройство наружных сетей водопровода (16.1; 16.2; 16.3; 16.4)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9. Устройство наружных сетей канализации (17.1; 17.2; 17.3; 17.4; 17.5; 17.6; 17.7)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10. Устройство наружных сетей теплоснабжения (18.1; 18.2; 18.3; 18.4; 18.5)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51312B" w:rsidRPr="0051312B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12. Устройство автомобильных дорог и </w:t>
      </w:r>
      <w:proofErr w:type="spellStart"/>
      <w:r w:rsidRPr="0051312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1312B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C86F9F" w:rsidRPr="0051312B" w:rsidRDefault="00970EC1" w:rsidP="001723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 w:rsidR="00172332" w:rsidRPr="0051312B">
        <w:rPr>
          <w:rFonts w:ascii="Times New Roman" w:hAnsi="Times New Roman"/>
          <w:sz w:val="24"/>
          <w:szCs w:val="24"/>
        </w:rPr>
        <w:t>1</w:t>
      </w:r>
      <w:r w:rsidR="0051312B">
        <w:rPr>
          <w:rFonts w:ascii="Times New Roman" w:hAnsi="Times New Roman"/>
          <w:sz w:val="24"/>
          <w:szCs w:val="24"/>
        </w:rPr>
        <w:t>2</w:t>
      </w:r>
      <w:r w:rsidR="005E310E" w:rsidRPr="0051312B">
        <w:rPr>
          <w:rFonts w:ascii="Times New Roman" w:hAnsi="Times New Roman"/>
          <w:sz w:val="24"/>
          <w:szCs w:val="24"/>
        </w:rPr>
        <w:t xml:space="preserve"> (</w:t>
      </w:r>
      <w:r w:rsidR="0051312B">
        <w:rPr>
          <w:rFonts w:ascii="Times New Roman" w:hAnsi="Times New Roman"/>
          <w:sz w:val="24"/>
          <w:szCs w:val="24"/>
        </w:rPr>
        <w:t>двенадцать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 w:rsidR="00172332" w:rsidRPr="0051312B"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884C34" w:rsidRPr="009624D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B25AD2" w:rsidRDefault="0051312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="00522E7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522E70">
        <w:rPr>
          <w:sz w:val="24"/>
          <w:szCs w:val="24"/>
        </w:rPr>
        <w:t xml:space="preserve"> </w:t>
      </w:r>
      <w:r w:rsidR="00522E70" w:rsidRPr="00FD6961">
        <w:rPr>
          <w:sz w:val="24"/>
          <w:szCs w:val="24"/>
        </w:rPr>
        <w:t>вопросу:</w:t>
      </w:r>
      <w:r w:rsidR="00522E70" w:rsidRPr="00B25AD2">
        <w:rPr>
          <w:rFonts w:eastAsia="Calibri"/>
          <w:sz w:val="24"/>
          <w:szCs w:val="24"/>
          <w:lang w:eastAsia="en-US"/>
        </w:rPr>
        <w:t xml:space="preserve"> </w:t>
      </w:r>
      <w:r w:rsidR="00522E7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796251" w:rsidRDefault="0051312B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="00522E70">
        <w:rPr>
          <w:rFonts w:ascii="Times New Roman" w:hAnsi="Times New Roman"/>
          <w:b/>
        </w:rPr>
        <w:t xml:space="preserve">.1. </w:t>
      </w:r>
      <w:r w:rsidR="00522E70" w:rsidRPr="009624D9">
        <w:rPr>
          <w:rFonts w:ascii="Times New Roman" w:hAnsi="Times New Roman"/>
          <w:b/>
        </w:rPr>
        <w:t>Принято решение:</w:t>
      </w:r>
      <w:r w:rsidR="00522E70" w:rsidRPr="00522E70">
        <w:rPr>
          <w:rFonts w:ascii="Times New Roman" w:hAnsi="Times New Roman"/>
          <w:sz w:val="24"/>
          <w:szCs w:val="24"/>
        </w:rPr>
        <w:t xml:space="preserve"> </w:t>
      </w:r>
      <w:r w:rsidR="00796251"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796251" w:rsidRDefault="00796251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141"/>
        <w:tblW w:w="9747" w:type="dxa"/>
        <w:tblLayout w:type="fixed"/>
        <w:tblLook w:val="0000"/>
      </w:tblPr>
      <w:tblGrid>
        <w:gridCol w:w="9747"/>
      </w:tblGrid>
      <w:tr w:rsidR="00796251" w:rsidRPr="00FD195D" w:rsidTr="00FD195D">
        <w:trPr>
          <w:cantSplit/>
          <w:trHeight w:val="709"/>
        </w:trPr>
        <w:tc>
          <w:tcPr>
            <w:tcW w:w="9747" w:type="dxa"/>
            <w:shd w:val="clear" w:color="auto" w:fill="auto"/>
          </w:tcPr>
          <w:p w:rsidR="0051312B" w:rsidRDefault="0051312B" w:rsidP="0051312B">
            <w:pPr>
              <w:pStyle w:val="a5"/>
              <w:numPr>
                <w:ilvl w:val="0"/>
                <w:numId w:val="10"/>
              </w:numPr>
              <w:tabs>
                <w:tab w:val="left" w:pos="141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«Дельта», ИНН 5032142906, Свидетельство № 0012.02-2009-5032142906-C-009, в отношении следующих видов работ: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Геодезические работы, выполняемые на строительных площадках (1.2);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Подготовительные работы (2.1; 2.4);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>Устройство бетонных и железобетонных монолитных конструкций (6.1; 6.2; 6.3);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Монтаж сборных бетонных и железобетонных конструкций (7.1; 7.2);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Работы по устройству каменных конструкций (9.1; 9.2);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Монтаж металлических конструкций (10.1; 10.2; 10.3; 10.4; 10.5; 10.6);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Монтаж деревянных конструкций (11.2);  </w:t>
            </w:r>
          </w:p>
          <w:p w:rsidR="0051312B" w:rsidRDefault="0051312B" w:rsidP="0051312B">
            <w:pPr>
              <w:pStyle w:val="a5"/>
              <w:tabs>
                <w:tab w:val="left" w:pos="567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Устройство кровель (13.1; 13.2; 13.3); 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Фасадные работы (14.1; 14.2); </w:t>
            </w:r>
          </w:p>
          <w:p w:rsidR="00796251" w:rsidRPr="0051312B" w:rsidRDefault="0051312B" w:rsidP="0051312B">
            <w:pPr>
              <w:pStyle w:val="a5"/>
              <w:tabs>
                <w:tab w:val="left" w:pos="141"/>
              </w:tabs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>Устройство мостов, эстакад и путепроводов (29.3; 29.4).</w:t>
            </w:r>
          </w:p>
        </w:tc>
      </w:tr>
      <w:tr w:rsidR="00796251" w:rsidRPr="00FD195D" w:rsidTr="00FD195D">
        <w:trPr>
          <w:cantSplit/>
          <w:trHeight w:val="252"/>
        </w:trPr>
        <w:tc>
          <w:tcPr>
            <w:tcW w:w="9747" w:type="dxa"/>
            <w:shd w:val="clear" w:color="auto" w:fill="auto"/>
          </w:tcPr>
          <w:p w:rsidR="0051312B" w:rsidRDefault="0051312B" w:rsidP="0051312B">
            <w:pPr>
              <w:pStyle w:val="a5"/>
              <w:numPr>
                <w:ilvl w:val="0"/>
                <w:numId w:val="10"/>
              </w:numPr>
              <w:tabs>
                <w:tab w:val="left" w:pos="14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ООО «УАБЗ», ИНН 7325103322, Свидетельство № 0951.01-2011-7325103322-C-009, в отношении следующих видов работ: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Земляные работы (3.1); 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>Устройство бетонных и железобетонных монолитных конструкций (6.1; 6.2; 6.3);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 Монтаж сборных бетонных и железобетонных конструкций (7.1; 7.2);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Работы по устройству каменных конструкций (9.1; 9.2);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Монтаж металлических конструкций (10.1);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водопровода (16.1; 16.2; 16.3; 16.4);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канализации (17.1; 17.2; 17.3; 17.4; 17.7); </w:t>
            </w:r>
          </w:p>
          <w:p w:rsid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Устройство наружных сетей теплоснабжения (18.1;18.2; 18.3; 18.4; 18.5); </w:t>
            </w:r>
          </w:p>
          <w:p w:rsidR="00D111D3" w:rsidRPr="0051312B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12B">
              <w:rPr>
                <w:rFonts w:ascii="Times New Roman" w:hAnsi="Times New Roman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51312B">
              <w:rPr>
                <w:rFonts w:ascii="Times New Roman" w:hAnsi="Times New Roman"/>
                <w:sz w:val="24"/>
                <w:szCs w:val="24"/>
              </w:rPr>
              <w:t>аэродромодов</w:t>
            </w:r>
            <w:proofErr w:type="spellEnd"/>
            <w:r w:rsidRPr="0051312B">
              <w:rPr>
                <w:rFonts w:ascii="Times New Roman" w:hAnsi="Times New Roman"/>
                <w:sz w:val="24"/>
                <w:szCs w:val="24"/>
              </w:rPr>
              <w:t xml:space="preserve"> (25.1; 25.2; 25.4).</w:t>
            </w:r>
          </w:p>
          <w:p w:rsidR="0051312B" w:rsidRPr="00FD195D" w:rsidRDefault="0051312B" w:rsidP="0051312B">
            <w:pPr>
              <w:pStyle w:val="a5"/>
              <w:tabs>
                <w:tab w:val="left" w:pos="141"/>
              </w:tabs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E70" w:rsidRPr="00411C52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522E70" w:rsidRPr="007B5C81" w:rsidRDefault="0051312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22E70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522E70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522E70" w:rsidRPr="007B5C81">
        <w:rPr>
          <w:b/>
        </w:rPr>
        <w:t xml:space="preserve"> </w:t>
      </w:r>
      <w:r w:rsidR="00522E70">
        <w:rPr>
          <w:b/>
        </w:rPr>
        <w:t>«</w:t>
      </w:r>
      <w:r w:rsidR="00522E70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Default="0051312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522E70">
        <w:rPr>
          <w:sz w:val="24"/>
          <w:szCs w:val="24"/>
        </w:rPr>
        <w:t xml:space="preserve">.1. </w:t>
      </w:r>
      <w:r w:rsidR="00522E70" w:rsidRPr="00FD6961">
        <w:rPr>
          <w:sz w:val="24"/>
          <w:szCs w:val="24"/>
        </w:rPr>
        <w:t>принято решение:</w:t>
      </w:r>
      <w:r w:rsidR="00522E70" w:rsidRPr="007B5C81">
        <w:rPr>
          <w:i/>
        </w:rPr>
        <w:t xml:space="preserve"> </w:t>
      </w:r>
      <w:r w:rsidR="00522E70" w:rsidRPr="007B5C81">
        <w:rPr>
          <w:b w:val="0"/>
          <w:sz w:val="24"/>
          <w:szCs w:val="24"/>
        </w:rPr>
        <w:t xml:space="preserve"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proofErr w:type="gramStart"/>
      <w:r w:rsidR="00522E70" w:rsidRPr="007B5C81">
        <w:rPr>
          <w:b w:val="0"/>
          <w:sz w:val="24"/>
          <w:szCs w:val="24"/>
        </w:rPr>
        <w:t>из</w:t>
      </w:r>
      <w:proofErr w:type="gramEnd"/>
      <w:r w:rsidR="00522E70" w:rsidRPr="007B5C81">
        <w:rPr>
          <w:b w:val="0"/>
          <w:sz w:val="24"/>
          <w:szCs w:val="24"/>
        </w:rPr>
        <w:t xml:space="preserve"> членов Некоммерческого партнерства «Первая Национальная Организация Строителей» следующие организации</w:t>
      </w:r>
      <w:r w:rsidR="00522E70">
        <w:rPr>
          <w:b w:val="0"/>
          <w:sz w:val="24"/>
          <w:szCs w:val="24"/>
        </w:rPr>
        <w:t>:</w:t>
      </w:r>
    </w:p>
    <w:tbl>
      <w:tblPr>
        <w:tblW w:w="10065" w:type="dxa"/>
        <w:tblLayout w:type="fixed"/>
        <w:tblLook w:val="0000"/>
      </w:tblPr>
      <w:tblGrid>
        <w:gridCol w:w="10065"/>
      </w:tblGrid>
      <w:tr w:rsidR="00FD195D" w:rsidRPr="00FD195D" w:rsidTr="00FD195D">
        <w:trPr>
          <w:cantSplit/>
          <w:trHeight w:val="80"/>
        </w:trPr>
        <w:tc>
          <w:tcPr>
            <w:tcW w:w="10065" w:type="dxa"/>
            <w:shd w:val="clear" w:color="auto" w:fill="auto"/>
          </w:tcPr>
          <w:p w:rsidR="00FD195D" w:rsidRPr="00FD195D" w:rsidRDefault="00FD195D" w:rsidP="0051312B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51312B" w:rsidRPr="0051312B">
              <w:rPr>
                <w:rFonts w:ascii="Times New Roman" w:hAnsi="Times New Roman"/>
                <w:sz w:val="24"/>
                <w:szCs w:val="24"/>
              </w:rPr>
              <w:t>ООО «Дельта», ИНН 5032142906</w:t>
            </w:r>
            <w:r w:rsidR="0051312B">
              <w:rPr>
                <w:rFonts w:ascii="Times New Roman" w:hAnsi="Times New Roman"/>
                <w:sz w:val="24"/>
                <w:szCs w:val="24"/>
              </w:rPr>
              <w:t>,</w:t>
            </w:r>
            <w:r w:rsidR="0051312B">
              <w:rPr>
                <w:sz w:val="18"/>
                <w:szCs w:val="18"/>
              </w:rPr>
              <w:t xml:space="preserve"> </w:t>
            </w:r>
            <w:r w:rsidR="0051312B" w:rsidRPr="0051312B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D195D" w:rsidRPr="00FD195D" w:rsidTr="00FD195D">
        <w:trPr>
          <w:cantSplit/>
          <w:trHeight w:val="252"/>
        </w:trPr>
        <w:tc>
          <w:tcPr>
            <w:tcW w:w="10065" w:type="dxa"/>
            <w:shd w:val="clear" w:color="auto" w:fill="auto"/>
          </w:tcPr>
          <w:p w:rsidR="00FD195D" w:rsidRPr="00FD195D" w:rsidRDefault="00FD195D" w:rsidP="00FD195D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51312B" w:rsidRPr="0051312B">
              <w:rPr>
                <w:rFonts w:ascii="Times New Roman" w:hAnsi="Times New Roman"/>
                <w:sz w:val="24"/>
                <w:szCs w:val="24"/>
              </w:rPr>
              <w:t>ООО «УАБЗ», ИНН 7325103322</w:t>
            </w:r>
            <w:r w:rsidR="005131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312B" w:rsidRPr="0051312B">
              <w:rPr>
                <w:rFonts w:ascii="Times New Roman" w:hAnsi="Times New Roman"/>
                <w:sz w:val="24"/>
                <w:szCs w:val="24"/>
              </w:rPr>
              <w:t>г.Ульяновск</w:t>
            </w:r>
          </w:p>
        </w:tc>
      </w:tr>
    </w:tbl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21</cp:revision>
  <cp:lastPrinted>2012-09-13T08:10:00Z</cp:lastPrinted>
  <dcterms:created xsi:type="dcterms:W3CDTF">2013-08-01T11:08:00Z</dcterms:created>
  <dcterms:modified xsi:type="dcterms:W3CDTF">2013-10-31T12:59:00Z</dcterms:modified>
</cp:coreProperties>
</file>