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B9" w:rsidRDefault="00E037B9" w:rsidP="00E037B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Результаты заседания</w:t>
      </w:r>
    </w:p>
    <w:p w:rsidR="00E037B9" w:rsidRDefault="00E037B9" w:rsidP="00E037B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 Союза</w:t>
      </w:r>
    </w:p>
    <w:p w:rsidR="00E037B9" w:rsidRDefault="00E037B9" w:rsidP="00E037B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«Первая Национальная Организация Строителей»</w:t>
      </w:r>
    </w:p>
    <w:p w:rsidR="00E037B9" w:rsidRDefault="00E037B9" w:rsidP="00E037B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 ноября 2015 года.</w:t>
      </w:r>
    </w:p>
    <w:p w:rsidR="009D622B" w:rsidRPr="00811EB8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2" w:type="dxa"/>
        <w:tblInd w:w="-601" w:type="dxa"/>
        <w:tblLayout w:type="fixed"/>
        <w:tblLook w:val="04A0"/>
      </w:tblPr>
      <w:tblGrid>
        <w:gridCol w:w="425"/>
        <w:gridCol w:w="2410"/>
        <w:gridCol w:w="1276"/>
        <w:gridCol w:w="2235"/>
        <w:gridCol w:w="4536"/>
      </w:tblGrid>
      <w:tr w:rsidR="00B371DC" w:rsidRPr="00811EB8" w:rsidTr="0071772A">
        <w:tc>
          <w:tcPr>
            <w:tcW w:w="425" w:type="dxa"/>
          </w:tcPr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71DC" w:rsidRPr="00811EB8" w:rsidRDefault="00B371DC" w:rsidP="00C01F76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276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811EB8" w:rsidRDefault="00B371DC" w:rsidP="00C01F76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B371DC" w:rsidRPr="00811EB8" w:rsidRDefault="00B371DC" w:rsidP="00C0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82BE5" w:rsidRPr="00811EB8" w:rsidRDefault="00782BE5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Свияжская</w:t>
            </w:r>
            <w:proofErr w:type="spellEnd"/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строительная компания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Ульяновская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327033487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E197F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E197F" w:rsidRPr="00811EB8" w:rsidRDefault="00EE197F" w:rsidP="00EE197F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375FCF" w:rsidP="00EE19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75FCF" w:rsidRDefault="00375FCF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Свияжская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ответственности.</w:t>
            </w:r>
          </w:p>
          <w:p w:rsidR="00375FCF" w:rsidRDefault="00375FCF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Свияжская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меру дисциплинарного воздействия в виде вынесения предписания об обязательном устранении выявленных нарушений</w:t>
            </w:r>
            <w:r w:rsidR="00634B6C">
              <w:rPr>
                <w:rFonts w:ascii="Times New Roman" w:hAnsi="Times New Roman"/>
                <w:sz w:val="18"/>
                <w:szCs w:val="18"/>
              </w:rPr>
              <w:t xml:space="preserve"> в срок по 21.11.2015 г.</w:t>
            </w:r>
          </w:p>
          <w:p w:rsidR="00375FCF" w:rsidRPr="00811EB8" w:rsidRDefault="00375FCF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Свияжская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782BE5" w:rsidRPr="00811EB8" w:rsidTr="0071772A">
        <w:tc>
          <w:tcPr>
            <w:tcW w:w="42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82BE5" w:rsidRPr="00811EB8" w:rsidRDefault="00782BE5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Строймонтаж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Ульяновская область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 w:rsidR="000D7418"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35CF8">
              <w:rPr>
                <w:rFonts w:ascii="Times New Roman" w:hAnsi="Times New Roman"/>
                <w:color w:val="000000"/>
                <w:sz w:val="18"/>
                <w:szCs w:val="18"/>
              </w:rPr>
              <w:t>306005376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782BE5" w:rsidRPr="00811EB8" w:rsidRDefault="00782BE5" w:rsidP="00C01F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782BE5" w:rsidRPr="00811EB8" w:rsidRDefault="00782BE5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Акт проверки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Привлечь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ответственности.</w:t>
            </w:r>
          </w:p>
          <w:p w:rsid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Применить к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меру дисциплинарного воздействия в виде вынесения предписания об обязательном устранении выявленных нарушений</w:t>
            </w:r>
            <w:r w:rsidR="00634B6C">
              <w:rPr>
                <w:rFonts w:ascii="Times New Roman" w:hAnsi="Times New Roman"/>
                <w:sz w:val="18"/>
                <w:szCs w:val="18"/>
              </w:rPr>
              <w:t xml:space="preserve"> в срок по 21.11.2015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05B6" w:rsidRPr="00811EB8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Строймонтаж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Лайф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Экспо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г.Москва,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15763934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75FCF" w:rsidRDefault="00375FCF" w:rsidP="005A368B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ривлечь 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375FCF" w:rsidRDefault="00375FCF" w:rsidP="005A36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 w:rsidR="00634B6C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</w:t>
            </w:r>
            <w:r>
              <w:rPr>
                <w:rFonts w:ascii="Times New Roman" w:hAnsi="Times New Roman"/>
                <w:sz w:val="18"/>
                <w:szCs w:val="18"/>
              </w:rPr>
              <w:t>.12.2015 г.</w:t>
            </w:r>
          </w:p>
          <w:p w:rsidR="00375FCF" w:rsidRP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Лайф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5FCF">
              <w:rPr>
                <w:rFonts w:ascii="Times New Roman" w:hAnsi="Times New Roman"/>
                <w:sz w:val="18"/>
                <w:szCs w:val="18"/>
              </w:rPr>
              <w:t>Экспо</w:t>
            </w:r>
            <w:proofErr w:type="spellEnd"/>
            <w:r w:rsidRPr="00375FC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ГЕОАВТОМАТИКА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Москва, ИНН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716655804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  <w:shd w:val="clear" w:color="auto" w:fill="auto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634B6C"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ООО «ГЕОАВТОМАТИКА»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«ГЕОАВТОМАТИКА»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535CF8" w:rsidRP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ООО «ГЕОАВТОМАТИКА»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СОБВЭК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18160613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75FCF" w:rsidRP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634B6C"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ООО «СОБВЭК» к дисциплинарной ответственности в виде вынесения предупреждения.</w:t>
            </w:r>
          </w:p>
          <w:p w:rsidR="00375FCF" w:rsidRPr="00375FCF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>2. Продлить срок устранения ООО «СОБВЭК»</w:t>
            </w:r>
            <w:r w:rsidR="00634B6C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.12.2015 г.</w:t>
            </w:r>
          </w:p>
          <w:p w:rsidR="00535CF8" w:rsidRPr="00811EB8" w:rsidRDefault="00375FCF" w:rsidP="00375FCF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«СОБВЭК»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ГлобалЛайтинг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20508721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535CF8" w:rsidRPr="00811EB8" w:rsidRDefault="00634B6C" w:rsidP="00375F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исполнением ООО «</w:t>
            </w:r>
            <w:proofErr w:type="spellStart"/>
            <w:r w:rsidRPr="00634B6C">
              <w:rPr>
                <w:rFonts w:ascii="Times New Roman" w:hAnsi="Times New Roman"/>
                <w:sz w:val="18"/>
                <w:szCs w:val="18"/>
              </w:rPr>
              <w:t>ГлобалЛайтинг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«РСУ Киевское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Москва, ИНН 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30178536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535CF8" w:rsidRPr="00811EB8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>В связи с исполнением ЗАО «РСУ Киевское»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Беларусь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490175627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DF195C" w:rsidRDefault="00DF195C" w:rsidP="00DF19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DF195C" w:rsidRDefault="00DF195C" w:rsidP="00DF19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Применить к 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меру дисциплинарного воздействия в виде приостановления действия Свидетельства № </w:t>
            </w:r>
            <w:r w:rsidRPr="00DF19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0968.02-2011-490175627-C-009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21.12.2015 г. в отношении следующих видов работ: </w:t>
            </w:r>
            <w:r w:rsidRPr="00DF195C">
              <w:rPr>
                <w:rFonts w:ascii="Times New Roman" w:hAnsi="Times New Roman"/>
                <w:color w:val="000000"/>
                <w:sz w:val="18"/>
                <w:szCs w:val="18"/>
              </w:rPr>
              <w:t>1. Устройство внутренних инженерных систем и оборудов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ания зданий и сооружений (15.5). 2.Монтажные работы (23.6). </w:t>
            </w:r>
            <w:r w:rsidRPr="00DF195C">
              <w:rPr>
                <w:rFonts w:ascii="Times New Roman" w:hAnsi="Times New Roman"/>
                <w:color w:val="000000"/>
                <w:sz w:val="18"/>
                <w:szCs w:val="18"/>
              </w:rPr>
              <w:t>3. Пусконаладочные работы (24.10; 24.12.)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35CF8" w:rsidRPr="00811EB8" w:rsidRDefault="00DF195C" w:rsidP="00DF19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Заседание по проверке устранения ЧПТУП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Энергопромавтоматика</w:t>
            </w:r>
            <w:proofErr w:type="spellEnd"/>
            <w:r w:rsidRPr="000569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Контракт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0264014775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34B6C" w:rsidRPr="00375FCF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="00946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ЗАО «Контракт»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634B6C" w:rsidRPr="00375FCF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ЗАО «Контракт»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>.12.2015 г.</w:t>
            </w:r>
          </w:p>
          <w:p w:rsidR="00535CF8" w:rsidRPr="00811EB8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ЗАО «Контракт»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РемЭнергоМонтаж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0266033332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34B6C" w:rsidRPr="00375FCF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="00946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B6C">
              <w:rPr>
                <w:rFonts w:ascii="Times New Roman" w:hAnsi="Times New Roman"/>
                <w:sz w:val="18"/>
                <w:szCs w:val="18"/>
              </w:rPr>
              <w:t>РемЭнергоМонтаж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634B6C" w:rsidRPr="00375FCF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B6C">
              <w:rPr>
                <w:rFonts w:ascii="Times New Roman" w:hAnsi="Times New Roman"/>
                <w:sz w:val="18"/>
                <w:szCs w:val="18"/>
              </w:rPr>
              <w:t>РемЭнергоМонтаж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535CF8" w:rsidRPr="00811EB8" w:rsidRDefault="00634B6C" w:rsidP="00634B6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B6C">
              <w:rPr>
                <w:rFonts w:ascii="Times New Roman" w:hAnsi="Times New Roman"/>
                <w:sz w:val="18"/>
                <w:szCs w:val="18"/>
              </w:rPr>
              <w:t>РемЭнергоМонтаж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0276124317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В связи с неисполнением предписаний об обязательном устранении выявленных нарушений привлечь 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Применить к 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меру дисциплинарного воздействия в виде приостановления действия Свидетельства № 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0748.04-2010-0276124317-C-009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21.12.2015 г. в отношении следующих видов работ: 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1. Геодезические работы, выполняемые на строительных площадках (1.1; 1.2)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2. Подготовительные работы (2.1; 2.2; 2.3; 2.4)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3. Земляные работы (3.1; 3.2; 3.3; 3.4; 3.5; 3.6; 3.7)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4. Свайные работы. Закрепление грунтов (5.1; 5.2; 5.3; 5.4; 5.5; 5.6; 5.7; 5.8; 5.9)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5. Устройство бетонных и железобетонных монолитных конструкций (6.1; 6.2; 6.3)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6. Монтаж сборных бетонных и железобетонных конструкций (7.1; 7.2; 7.3)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7. Монтаж металлических конструкций (10.1; 10.2; 10.3; 10.4; 10.5; 10.6)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9. Устройство внутренних инженерных систем и оборудования зданий и сооружений (15.1; 15.2; 15.3; 15.4; 15.5; 15.6)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 Устройство наружных электрических сетей и линий 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связи (20.1; 20.2; 20.3; 20.5; 20.6; 20.8; 20.9; 20.10; 20.11; 20.12; 20.13)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11. Монтажные работы (23.1; 23.2; 23.3; 23.4; 23.5; 23.6; 23.16; 23.19; 23.20; 23.21; 23.22; 23.23; 23.24; 23.25; 23.26; 23.27; 23.28; 23.30; 23.32; 23.33; 23.36)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12. Пусконаладочные работы (24.1; 24.2; 24.3; 24.4; 24.5; 24.6; 24.7; 24.8; 24.9; 24.10; 24.11; 24.12.; 24.13; 24.14; 24.25; 24.26)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13. Промышленные печи и дымовые трубы (31.2; 31.3; 31.4; 31.5)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32.6; 32.8)</w:t>
            </w:r>
          </w:p>
          <w:p w:rsid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вору не превышает 10 млн. руб. </w:t>
            </w:r>
          </w:p>
          <w:p w:rsidR="00535CF8" w:rsidRPr="00811EB8" w:rsidRDefault="00946232" w:rsidP="009462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Заседание по проверке устранения ЗАО ИСК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Инпромстрой</w:t>
            </w:r>
            <w:proofErr w:type="spellEnd"/>
            <w:r w:rsidRPr="000569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0274068924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меру дисциплинарного воздействия в виде приостановления действия Свидетельства № 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0723.04-2010-0274068924-C-009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21.12.2015 г. в отношении следующих видов работ: 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1. Устройство внутренних инженерных систем и оборудования зданий и сооружений (15.1; 15.2; 15.3; 15.4; 15.5; 15.6)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2. Монтажные работы (23.1; 23.2; 23.5; 23.6; 23.19; 23.20; 23.21; 23.22; 23.23; 23.24; 23.25; 23.26; 23.27; 23.28; 23.30; 23.31; 23.32)</w:t>
            </w:r>
          </w:p>
          <w:p w:rsidR="00946232" w:rsidRP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>3. Пусконаладочные работы (24.1; 24.2; 24.3; 24.4; 24.5; 24.6; 24.7; 24.8; 24.9; 24.10; 24.11; 24.12.; 24.13; 24.14; 24.18; 24.19; 24.23; 24.25; 24.26; 24.27; 24.28; 24.29; 24.30)</w:t>
            </w:r>
          </w:p>
          <w:p w:rsidR="00946232" w:rsidRDefault="00946232" w:rsidP="009462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33.13), стоимость которых по одному договору не превышает десяти миллионов рублей. </w:t>
            </w:r>
          </w:p>
          <w:p w:rsidR="00535CF8" w:rsidRPr="00811EB8" w:rsidRDefault="00946232" w:rsidP="009462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БЭТО</w:t>
            </w:r>
            <w:r w:rsidRPr="000569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</w:t>
            </w:r>
            <w:r w:rsid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Профмастер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 Башкортостан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0275086549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41371E" w:rsidRPr="00375FCF" w:rsidRDefault="0041371E" w:rsidP="0041371E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="00946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41371E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41371E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41371E" w:rsidRPr="00375FCF" w:rsidRDefault="0041371E" w:rsidP="0041371E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41371E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41371E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535CF8" w:rsidRPr="00811EB8" w:rsidRDefault="0041371E" w:rsidP="0041371E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41371E">
              <w:rPr>
                <w:rFonts w:ascii="Times New Roman" w:hAnsi="Times New Roman"/>
                <w:sz w:val="18"/>
                <w:szCs w:val="18"/>
              </w:rPr>
              <w:t>Профмастер</w:t>
            </w:r>
            <w:proofErr w:type="spellEnd"/>
            <w:r w:rsidRPr="0041371E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фирма «Комфорт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Нижегородская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ИНН </w:t>
            </w:r>
            <w:r w:rsidRPr="00407D2C">
              <w:rPr>
                <w:rFonts w:ascii="Times New Roman" w:hAnsi="Times New Roman"/>
                <w:color w:val="000000"/>
                <w:sz w:val="18"/>
                <w:szCs w:val="18"/>
              </w:rPr>
              <w:t>5206001649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плановая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Нарушение п. 2.4 Правил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F81C67" w:rsidRPr="00375FCF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="00946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фирма «Комфорт»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F81C67" w:rsidRPr="00375FCF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фирма «Комфорт»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535CF8" w:rsidRPr="00811EB8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41371E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фирма «Комфорт»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Дело о нарушении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Кияшко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Н.И.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Ставропольский край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263100707177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81C67" w:rsidRPr="00375FCF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 w:rsidR="009462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F81C67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F81C67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F81C67" w:rsidRPr="00375FCF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F81C67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F81C67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535CF8" w:rsidRPr="00811EB8" w:rsidRDefault="00F81C67" w:rsidP="00F81C67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F81C67">
              <w:rPr>
                <w:rFonts w:ascii="Times New Roman" w:hAnsi="Times New Roman"/>
                <w:sz w:val="18"/>
                <w:szCs w:val="18"/>
              </w:rPr>
              <w:t>Кияшко</w:t>
            </w:r>
            <w:proofErr w:type="spellEnd"/>
            <w:r w:rsidRPr="00F81C67"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Адепт-Строй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Красноярский край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2463053148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535CF8" w:rsidRPr="00811EB8" w:rsidRDefault="00914036" w:rsidP="00F81C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Адепт-Строй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535CF8" w:rsidRPr="00233EBD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нарушении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», Московская область, ИНН 5005027862,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535CF8" w:rsidRPr="00233EBD" w:rsidRDefault="00535CF8" w:rsidP="00535C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535CF8" w:rsidRPr="00233EBD" w:rsidRDefault="00535CF8" w:rsidP="00535C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35CF8" w:rsidRPr="00233EBD" w:rsidRDefault="00535CF8" w:rsidP="00535CF8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535CF8" w:rsidRPr="00233EBD" w:rsidRDefault="003E0877" w:rsidP="003E0877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F81C67" w:rsidRPr="00811EB8" w:rsidRDefault="00F81C67" w:rsidP="00F81C6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="00914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F81C67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F81C67">
              <w:rPr>
                <w:rFonts w:ascii="Times New Roman" w:hAnsi="Times New Roman"/>
                <w:sz w:val="18"/>
                <w:szCs w:val="18"/>
              </w:rPr>
              <w:t>» в установленные сроки нарушений, послуживших основанием 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приостановления действия свидетельства о допуске, отказать в возобновлении действия Свидетельства №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0466.04-2009-5005027862-С-009 о допуске ООО «</w:t>
            </w:r>
            <w:proofErr w:type="spellStart"/>
            <w:r w:rsidRPr="00F81C67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F81C67">
              <w:rPr>
                <w:rFonts w:ascii="Times New Roman" w:hAnsi="Times New Roman"/>
                <w:sz w:val="18"/>
                <w:szCs w:val="18"/>
              </w:rPr>
              <w:t>»</w:t>
            </w:r>
            <w:r w:rsidR="009140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80668B" w:rsidRPr="00F81C67">
              <w:rPr>
                <w:rFonts w:ascii="Times New Roman" w:hAnsi="Times New Roman"/>
                <w:sz w:val="18"/>
                <w:szCs w:val="18"/>
              </w:rPr>
              <w:t>Подготовительные работы (2.1;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(12.1;12.2; 12.3; 12.4; 12.5; 12.6; 12.8; 12.11); Устройство кровель (13.1; 13.2; 13.3); Фасадные работы (14.1; 14.2); Монтажные работы (23.20).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«Строй Альянс», г. Москва, ИНН 7723206197,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535CF8" w:rsidP="003E0877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 w:rsidR="003E0877"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 w:rsidR="003E0877"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60323" w:rsidRPr="00914036" w:rsidRDefault="00660323" w:rsidP="0066032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914036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Pr="00914036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660323" w:rsidRPr="00914036" w:rsidRDefault="00660323" w:rsidP="0066032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>2. Продлить срок устранения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21.12</w:t>
            </w: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>.2015 г.</w:t>
            </w:r>
          </w:p>
          <w:p w:rsidR="00F81C67" w:rsidRPr="00811EB8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>3. Заседание по проверке исполнения ООО «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Строй Альянс</w:t>
            </w: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22.12</w:t>
            </w: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>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г. Москва, ИНН 7727695076,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3E0877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660323" w:rsidRP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меру дисциплинарного воздействия в виде приостановления действия Свидетельства № </w:t>
            </w: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>0310.04-2009-7727695076-C-009</w:t>
            </w:r>
            <w:r w:rsidRPr="009462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21.12.2015 г. в отношении следующих видов работ: </w:t>
            </w: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>1. Устройство наружных электрических сетей и линий связи (20.13)</w:t>
            </w:r>
          </w:p>
          <w:p w:rsidR="00660323" w:rsidRP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>2. Монтажные работы (23.33)</w:t>
            </w:r>
          </w:p>
          <w:p w:rsidR="00660323" w:rsidRP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>3. Пусконаладочные работы (24.10)</w:t>
            </w:r>
          </w:p>
          <w:p w:rsidR="00660323" w:rsidRP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Работы по осуществлению строительного контроля застройщиком или привлекаемым застройщиком или заказчиком на основании договора юридическим лицом </w:t>
            </w: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или индивидуальным предпринимателем (32.6; 32.8)</w:t>
            </w:r>
          </w:p>
          <w:p w:rsidR="00535CF8" w:rsidRPr="00811EB8" w:rsidRDefault="00660323" w:rsidP="00660323">
            <w:pPr>
              <w:rPr>
                <w:sz w:val="18"/>
                <w:szCs w:val="18"/>
              </w:rPr>
            </w:pPr>
            <w:r w:rsidRPr="006603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ТелекомСтройПроект</w:t>
            </w:r>
            <w:proofErr w:type="spellEnd"/>
            <w:r w:rsidRPr="000569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назначить на 22.12.2015 г.</w:t>
            </w:r>
          </w:p>
        </w:tc>
      </w:tr>
      <w:tr w:rsidR="00535CF8" w:rsidRPr="00811EB8" w:rsidTr="0071772A">
        <w:tc>
          <w:tcPr>
            <w:tcW w:w="425" w:type="dxa"/>
          </w:tcPr>
          <w:p w:rsidR="00535CF8" w:rsidRPr="00811EB8" w:rsidRDefault="00535CF8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10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«КРУГ-Л», г.Москва, ИНН 7715004038, Правил контроля в области саморегулирования</w:t>
            </w:r>
          </w:p>
        </w:tc>
        <w:tc>
          <w:tcPr>
            <w:tcW w:w="1276" w:type="dxa"/>
          </w:tcPr>
          <w:p w:rsidR="00535CF8" w:rsidRPr="00811EB8" w:rsidRDefault="00535CF8" w:rsidP="00535C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внеплановая камеральная</w:t>
            </w:r>
          </w:p>
        </w:tc>
        <w:tc>
          <w:tcPr>
            <w:tcW w:w="2235" w:type="dxa"/>
          </w:tcPr>
          <w:p w:rsidR="00535CF8" w:rsidRPr="00811EB8" w:rsidRDefault="00535CF8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535CF8" w:rsidRPr="00811EB8" w:rsidRDefault="003E0877" w:rsidP="00535CF8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660323" w:rsidRDefault="00660323" w:rsidP="0066032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«КРУГ-Л</w:t>
            </w:r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94361C" w:rsidRPr="0094361C" w:rsidRDefault="00660323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Применить к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«КРУГ-Л</w:t>
            </w:r>
            <w:r w:rsidRPr="007D6E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меру дисциплинарного воздействия в виде приостановления действия Свидетельства № </w:t>
            </w:r>
            <w:r w:rsidR="0094361C"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0231.06-2009-7715004038-C-009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допуске к работам, которые оказывают влияние на безопасность объектов капитального строительства, на срок по 21.12.2015 г. в отношении следующих видов работ: </w:t>
            </w:r>
            <w:r w:rsidR="0094361C"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1. Подготовительные работы (2.1; 2.2; 2.3; 2.4)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2. Земляные работы (3.1; 3.7)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3. Устройство скважин (4.2; 4.3)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4. Устройство бетонных и железобетонных монолитных конструкций (6.1; 6.2; 6.3)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5. Монтаж сборных бетонных и железобетонных конструкций (7.1; 7.2; 7.3)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6. Работы по устройству каменных конструкций (9.1; 9.2)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7. Монтаж металлических конструкций (10.1; 10.2; 10.5)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8. Защита строительных конструкций, трубопроводов и оборудования (кроме магистральных и промысловых трубопроводов) (12.3; 12.5; 12.6; 12.8; 12.9; 12.10; 12.11; 12.12)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9. Устройство кровель (13.1; 13.2)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10. Фасадные работы (14.1; 14.2)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11. Устройство внутренних инженерных систем и оборудования зданий и сооружений (15.1; 15.2; 15.5)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12. Монтажные работы (23.20)</w:t>
            </w:r>
          </w:p>
          <w:p w:rsidR="0094361C" w:rsidRPr="0094361C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      </w:r>
          </w:p>
          <w:p w:rsidR="0094361C" w:rsidRDefault="0094361C" w:rsidP="0094361C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1C">
              <w:rPr>
                <w:rFonts w:ascii="Times New Roman" w:hAnsi="Times New Roman"/>
                <w:color w:val="000000"/>
                <w:sz w:val="18"/>
                <w:szCs w:val="18"/>
              </w:rPr>
      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35CF8" w:rsidRPr="00811EB8" w:rsidRDefault="00660323" w:rsidP="0094361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Заседание по проверке устранения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«КРУГ-Л</w:t>
            </w:r>
            <w:r w:rsidRPr="000569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назначить на 22.12.2015 г.</w:t>
            </w: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Московская область, ИНН 7726597848, Правил контроля в области саморегулирования</w:t>
            </w:r>
          </w:p>
        </w:tc>
        <w:tc>
          <w:tcPr>
            <w:tcW w:w="1276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E0877" w:rsidRPr="00811EB8" w:rsidRDefault="0094361C" w:rsidP="0040194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ПромАльянс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0877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877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Научно-производственная компания «Сим-Росс», Московская область, ИНН 5018049292, Правил контроля в области саморегулирования</w:t>
            </w:r>
          </w:p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3E0877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</w:t>
            </w:r>
          </w:p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саморегулирования. </w:t>
            </w:r>
          </w:p>
          <w:p w:rsidR="003E0877" w:rsidRPr="00811EB8" w:rsidRDefault="003E0877" w:rsidP="00861072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94361C" w:rsidRPr="00914036" w:rsidRDefault="0094361C" w:rsidP="0094361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914036">
              <w:rPr>
                <w:rFonts w:ascii="Times New Roman" w:hAnsi="Times New Roman"/>
                <w:sz w:val="18"/>
                <w:szCs w:val="18"/>
              </w:rPr>
              <w:t xml:space="preserve">1. Привлечь ООО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Научно-производственная компания «Сим-Росс</w:t>
            </w:r>
            <w:r w:rsidRPr="00914036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94361C" w:rsidRPr="00914036" w:rsidRDefault="0094361C" w:rsidP="0094361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 xml:space="preserve">2. Продлить срок устранения ООО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Научно-производственная компания «Сим-Росс</w:t>
            </w: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21.12</w:t>
            </w:r>
            <w:r w:rsidRPr="00914036">
              <w:rPr>
                <w:rFonts w:ascii="Times New Roman" w:eastAsia="Times New Roman" w:hAnsi="Times New Roman"/>
                <w:sz w:val="18"/>
                <w:szCs w:val="18"/>
              </w:rPr>
              <w:t>.2015 г.</w:t>
            </w:r>
          </w:p>
          <w:p w:rsidR="003E0877" w:rsidRPr="00811EB8" w:rsidRDefault="0094361C" w:rsidP="0094361C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Заседание по проверке исполнения ООО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Научно-производственная компания «Сим-Росс</w:t>
            </w: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22.12</w:t>
            </w:r>
            <w:r w:rsidRPr="00914036">
              <w:rPr>
                <w:rFonts w:ascii="Times New Roman" w:hAnsi="Times New Roman"/>
                <w:sz w:val="18"/>
                <w:szCs w:val="18"/>
                <w:lang w:eastAsia="ru-RU"/>
              </w:rPr>
              <w:t>.2015 г.</w:t>
            </w: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10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ОАО «УЖС-1», г. Москва, ИНН 7702301869, Правил контроля в области саморегулирования</w:t>
            </w:r>
          </w:p>
        </w:tc>
        <w:tc>
          <w:tcPr>
            <w:tcW w:w="1276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3E0877" w:rsidRPr="00811EB8" w:rsidRDefault="003E0877" w:rsidP="00861072">
            <w:pPr>
              <w:rPr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94361C" w:rsidRPr="00375FCF" w:rsidRDefault="0094361C" w:rsidP="0094361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34B6C">
              <w:rPr>
                <w:rFonts w:ascii="Times New Roman" w:hAnsi="Times New Roman"/>
                <w:sz w:val="18"/>
                <w:szCs w:val="18"/>
              </w:rPr>
              <w:t>В связи с неисполнением предписания об обязательном устранении выявленных нарушений привлечь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ОАО «УЖС-1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в виде вынесения предупреждения.</w:t>
            </w:r>
          </w:p>
          <w:p w:rsidR="0094361C" w:rsidRPr="00375FCF" w:rsidRDefault="0094361C" w:rsidP="0094361C">
            <w:pPr>
              <w:rPr>
                <w:rFonts w:ascii="Times New Roman" w:hAnsi="Times New Roman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2. Продлить срок устранения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ОАО «УЖС-1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по 21.12.2015 г.</w:t>
            </w:r>
          </w:p>
          <w:p w:rsidR="003E0877" w:rsidRPr="00811EB8" w:rsidRDefault="0094361C" w:rsidP="009436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FCF">
              <w:rPr>
                <w:rFonts w:ascii="Times New Roman" w:hAnsi="Times New Roman"/>
                <w:sz w:val="18"/>
                <w:szCs w:val="18"/>
              </w:rPr>
              <w:t xml:space="preserve">3. Заседание по проверке исполнения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ОАО «УЖС-1</w:t>
            </w:r>
            <w:r w:rsidRPr="00F81C67">
              <w:rPr>
                <w:rFonts w:ascii="Times New Roman" w:hAnsi="Times New Roman"/>
                <w:sz w:val="18"/>
                <w:szCs w:val="18"/>
              </w:rPr>
              <w:t>»</w:t>
            </w:r>
            <w:r w:rsidRPr="00375FCF">
              <w:rPr>
                <w:rFonts w:ascii="Times New Roman" w:hAnsi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22.12.2015 г.</w:t>
            </w: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3E0877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Техносервис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Республика Башкортостан, ИНН 0272017498, Правил контроля в области саморегулирования</w:t>
            </w:r>
          </w:p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0877" w:rsidRPr="00811EB8" w:rsidRDefault="003E0877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29.09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.2015 г. </w:t>
            </w:r>
            <w:r>
              <w:rPr>
                <w:rFonts w:ascii="Times New Roman" w:hAnsi="Times New Roman"/>
                <w:sz w:val="18"/>
                <w:szCs w:val="18"/>
              </w:rPr>
              <w:t>и 27.10.2015 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E0877" w:rsidRDefault="0094361C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Техносервис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94361C" w:rsidRPr="00811EB8" w:rsidRDefault="0094361C" w:rsidP="00116D7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МеллерИндастриБауРуссия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7720624076,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3E0877" w:rsidRPr="00811EB8" w:rsidRDefault="003E0877" w:rsidP="003E0877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рного комитета от 25.08.2015 г., 29.09.2015 г. и 27.10.2015г. </w:t>
            </w:r>
            <w:r w:rsidR="007D6E58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5D0662" w:rsidRDefault="005D0662" w:rsidP="005D066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МеллерИндастриБауРуссия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056924" w:rsidRPr="00811EB8" w:rsidRDefault="00056924" w:rsidP="000569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E0877" w:rsidRPr="00811EB8" w:rsidTr="0071772A">
        <w:tc>
          <w:tcPr>
            <w:tcW w:w="425" w:type="dxa"/>
          </w:tcPr>
          <w:p w:rsidR="003E0877" w:rsidRPr="00811EB8" w:rsidRDefault="003E0877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3E0877" w:rsidRPr="00811EB8" w:rsidRDefault="003E0877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3E0877" w:rsidRPr="00811EB8" w:rsidRDefault="003E0877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25.08.2015 г., 29.09.2015 г. и 27.10.2015г.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3E0877" w:rsidRPr="005D0662" w:rsidRDefault="005D0662" w:rsidP="005D066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D0662">
              <w:rPr>
                <w:rFonts w:ascii="Times New Roman" w:hAnsi="Times New Roman"/>
                <w:sz w:val="18"/>
                <w:szCs w:val="18"/>
              </w:rPr>
              <w:t>Заседание по рассмотрению вопроса о привлечении ЗАО «</w:t>
            </w:r>
            <w:proofErr w:type="spellStart"/>
            <w:r w:rsidRPr="005D0662">
              <w:rPr>
                <w:rFonts w:ascii="Times New Roman" w:hAnsi="Times New Roman"/>
                <w:sz w:val="18"/>
                <w:szCs w:val="18"/>
              </w:rPr>
              <w:t>Радиал-СВТ</w:t>
            </w:r>
            <w:proofErr w:type="spellEnd"/>
            <w:r w:rsidR="001D4064">
              <w:rPr>
                <w:rFonts w:ascii="Times New Roman" w:hAnsi="Times New Roman"/>
                <w:sz w:val="18"/>
                <w:szCs w:val="18"/>
              </w:rPr>
              <w:t>»</w:t>
            </w:r>
            <w:r w:rsidRPr="005D0662">
              <w:rPr>
                <w:rFonts w:ascii="Times New Roman" w:hAnsi="Times New Roman"/>
                <w:sz w:val="18"/>
                <w:szCs w:val="18"/>
              </w:rPr>
              <w:t>, к дисциплинарной ответственности отложить на 22.12.2015 г.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Дело о нарушении ООО «Таганка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КапСтрой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г. Москва, ИНН 7705798624,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E3303D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8"/>
                <w:szCs w:val="18"/>
              </w:rPr>
              <w:t>25.08.2015 г., 29.09.2015 г. и 27.10.2015г.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1D4064" w:rsidRDefault="001D4064" w:rsidP="001D406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Таганка 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КапСтрой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861072" w:rsidRPr="00811EB8" w:rsidRDefault="00861072" w:rsidP="000569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Промстроймонтаж</w:t>
            </w:r>
            <w:proofErr w:type="spellEnd"/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», Ярославская область, ИНН 7604091290, Правил контроля в области саморегулирования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861072" w:rsidRPr="00811EB8" w:rsidRDefault="00E3303D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D5502" w:rsidRPr="00811EB8" w:rsidRDefault="000D5502" w:rsidP="000D55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spellEnd"/>
            <w:r w:rsidRPr="000D550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D5502">
              <w:rPr>
                <w:rFonts w:ascii="Times New Roman" w:hAnsi="Times New Roman"/>
                <w:sz w:val="18"/>
                <w:szCs w:val="18"/>
              </w:rPr>
              <w:t>Промстроймонтаж</w:t>
            </w:r>
            <w:proofErr w:type="spellEnd"/>
            <w:r w:rsidRPr="000D550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0008.12-2009-7604091290-C-009 о допуске ООО «</w:t>
            </w:r>
            <w:proofErr w:type="spellStart"/>
            <w:r w:rsidRPr="000D5502">
              <w:rPr>
                <w:rFonts w:ascii="Times New Roman" w:hAnsi="Times New Roman"/>
                <w:sz w:val="18"/>
                <w:szCs w:val="18"/>
              </w:rPr>
              <w:t>Промстроймонтаж</w:t>
            </w:r>
            <w:proofErr w:type="spellEnd"/>
            <w:r w:rsidRPr="000D5502">
              <w:rPr>
                <w:rFonts w:ascii="Times New Roman" w:hAnsi="Times New Roman"/>
                <w:sz w:val="18"/>
                <w:szCs w:val="18"/>
              </w:rPr>
              <w:t>»</w:t>
            </w:r>
            <w:r w:rsidR="001D4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4.3); Свайные работы. Закрепление грунтов (5.1; 5.2; 5.3; 5.4; 5.5; 5.6; 5.7; 5.8; 5.9); Устройство бетонных и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20.4*; 20.5; 20.6; 20.7*; 20.8; 20.9; 20.10; 20.11; 20.12; 20.13); Монтажные работы (23.1; 23.2; 23.3; 23.4; 23.5; 23.6; 23.9; 23.10; 23.11; 23.12*; 23.13*; 23.14*; 23.15*; 23.16; 23.19; 23.20; 23.21; 23.22; 23.23; 23.25; 23.26; 23.27; 23.28; 23.30; 23.31; 23.32; 23.33; 23.34*; 23.35*; 23.36); Пусконаладочные работы (24.1; 24.2; 24.3; 24.4; 24.5; 24.6; 24.7; 24.8; 24.9; 24.10; 24.11; 24.12.; 24.13; 24.14; 24.15; 24.16; 24.17; 24.18; 24.19; 24.20; 24.21; 24.22; 24.23; 24.24; 24.25; 24.26; 24.27; 24.28; 24.29; 24.30); Устройство автомобильных дорог и </w:t>
            </w:r>
            <w:proofErr w:type="spellStart"/>
            <w:r w:rsidRPr="000D5502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Pr="000D5502">
              <w:rPr>
                <w:rFonts w:ascii="Times New Roman" w:hAnsi="Times New Roman"/>
                <w:sz w:val="18"/>
                <w:szCs w:val="18"/>
              </w:rPr>
              <w:t xml:space="preserve"> (25.1; 25.2; 25.4; 25.6; 25.7; 25.8); Устройство мостов, эстакад и путепроводов (29.1; 29.2; 29.3; 29.4; 29.5; 29.6; 29.7); Промышленные печи и дымовые трубы (31.2;31.3;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33.1.6; 33.1.7; 33.1.11; 33.2; 33.2.1; 33.2.2; 33.2.4; 33.2.6; 33.3; 33.4; 33.5; 33.6; 33.7*; 33.8; 33.10; 33.13).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«ЛЕСЛА», Ярославская область, ИНН 7610015917,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861072" w:rsidRPr="00811EB8" w:rsidRDefault="00E3303D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861072" w:rsidRPr="00811EB8" w:rsidRDefault="000D5502" w:rsidP="000D55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="001D4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ООО «ЛЕСЛА»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0592.06-2010-7610015917-C-009 о допуске ООО «ЛЕСЛА»</w:t>
            </w:r>
            <w:r w:rsidR="00806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Земляные работы (3.2; 3.3; 3.4; 3.6; 3.7); Устройство скважин (4.2; 4.3; 4.4);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10.4; 10.5; 10.6); Защита строительных конструкций, трубопроводов и оборудования (кроме магистральных и промысловых трубопроводов) (12.1; 12.2; 12.4; 12.5; 12.6; 12.7; 12.8; 12.9; 12.10; 12.12); Устройство внутренних инженерных систем и оборудования зданий и сооружений (15.3);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lastRenderedPageBreak/>
              <w:t>Устройство наружных сетей газоснабжения, кроме магистральных (19.1;19.2; 19.3; 19.4; 19.5; 19.6; 19.7; 19.8; 19.9; 19.10); Устройство наружных электрических сетей и линий связи (20.2; 20.3; 20.5; 20.9; 20.10; 20.11; 20.12); Монтажные работы (23.1; 23.2; 23.4; 23.32); Пусконаладочные работы (24.1; 24.2; 24.3; 24.4; 24.5; 24.6; 24.8; 24.9; 24.23; 24.24; 24.25; 24.26);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500 млн. руб.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 w:rsidR="00E3303D">
              <w:rPr>
                <w:rFonts w:ascii="Times New Roman" w:hAnsi="Times New Roman"/>
                <w:sz w:val="18"/>
                <w:szCs w:val="18"/>
              </w:rPr>
              <w:t>25.08.2015 г., 29.09.2015 г. и 27.10.2015г.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861072" w:rsidRPr="00811EB8" w:rsidRDefault="001D4064" w:rsidP="001D406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D0662">
              <w:rPr>
                <w:rFonts w:ascii="Times New Roman" w:hAnsi="Times New Roman"/>
                <w:sz w:val="18"/>
                <w:szCs w:val="18"/>
              </w:rPr>
              <w:t xml:space="preserve">Заседание по рассмотрению вопроса о привлечении </w:t>
            </w: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5D0662">
              <w:rPr>
                <w:rFonts w:ascii="Times New Roman" w:hAnsi="Times New Roman"/>
                <w:sz w:val="18"/>
                <w:szCs w:val="18"/>
              </w:rPr>
              <w:t>О «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СТРОЙ-ФАВОРИТ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D0662">
              <w:rPr>
                <w:rFonts w:ascii="Times New Roman" w:hAnsi="Times New Roman"/>
                <w:sz w:val="18"/>
                <w:szCs w:val="18"/>
              </w:rPr>
              <w:t>, к дисциплинарной ответственности отложить на 22.12.2015 г.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ЗАО «ВОЗРОЖДЕНИЕ+», Ульяновская область, ИНН 7312003063,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E3303D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861072" w:rsidRPr="00811EB8" w:rsidRDefault="00113862" w:rsidP="001D4064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устранением</w:t>
            </w:r>
            <w:r w:rsidR="001D4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ЗАО «ВОЗРОЖДЕНИЕ+»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возобнов</w:t>
            </w:r>
            <w:r w:rsidR="001D4064">
              <w:rPr>
                <w:rFonts w:ascii="Times New Roman" w:hAnsi="Times New Roman"/>
                <w:sz w:val="18"/>
                <w:szCs w:val="18"/>
              </w:rPr>
              <w:t>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действи</w:t>
            </w:r>
            <w:r w:rsidR="001D4064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Свидетельства №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0053.06-2009-7312003063-C-009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 о допуске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ЗАО «ВОЗРОЖДЕНИЕ+»</w:t>
            </w:r>
            <w:r w:rsidR="001D4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к работам, которые оказывают влияние на безопасность объектов капитального строительства</w:t>
            </w:r>
            <w:r w:rsidR="001D4064">
              <w:rPr>
                <w:rFonts w:ascii="Times New Roman" w:hAnsi="Times New Roman"/>
                <w:sz w:val="18"/>
                <w:szCs w:val="18"/>
              </w:rPr>
              <w:t xml:space="preserve"> с 25.11.2015 г.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, в отношении следующих видов работ: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Подготовительные работы (2.1; 2.2; 2.3);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(9.2); Защита строительных конструкций, трубопроводов и оборудования (кроме магистральных и промысловых трубопроводов) (12.9; 12.10); Устройство кровель (13.1; 13.2); Устройство внутренних инженерных систем и оборудования зданий и сооружений (15.1;15.2; 15.5); Устройство наружных сетей канализации (17.1; 17.4);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десять миллионов рублей.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Ульяновская область, ИНН 7328043801,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E3303D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861072" w:rsidRPr="00811EB8" w:rsidRDefault="00113862" w:rsidP="0011386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113862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 xml:space="preserve">0121.06-2009-7328043801-C-009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о допуске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113862">
              <w:rPr>
                <w:rFonts w:ascii="Times New Roman" w:hAnsi="Times New Roman"/>
                <w:sz w:val="18"/>
                <w:szCs w:val="18"/>
              </w:rPr>
              <w:t>Ремстроймост</w:t>
            </w:r>
            <w:proofErr w:type="spellEnd"/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5928F0" w:rsidRPr="005928F0">
              <w:rPr>
                <w:rFonts w:ascii="Times New Roman" w:hAnsi="Times New Roman"/>
                <w:sz w:val="18"/>
                <w:szCs w:val="18"/>
              </w:rPr>
              <w:t xml:space="preserve">Геодезические работы, выполняемые на строительных площадках (1.1*; 1.2*); </w:t>
            </w:r>
            <w:r w:rsidR="005928F0" w:rsidRPr="005928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Подготовительные работы (2.1*; 2.2*; 2.3*; 2.4*); Земляные работы (3.1*; 3.2*; 3.3*; 3.4*; 3.5*; 3.6*; 3.7*); Устройство скважин (4.1*; 4.2*; 4.3*; 4.4*; 4.5*); Свайные работы. Закрепление грунтов (5.1*; 5.2*;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(19.1*; 19.2*; 19.3*; 19.4*; 19.5*; 19.6*; 19.7*; 19.8*; 19.9*; 19.10*); Устройство наружных электрических сетей и линий связи (20.1*; 20.2*; 20.3*; 20.4*; 20.5*; 20.6*; 20.7*; 20.8*; 20.9*; 20.10*; 20.11*; 20.12*; 20.13*); Устройство объектов нефтяной и газовой промышленности (22.1*; 22.2*; 22.3*; 22.4*; 22.5*; 22.6*; 22.7*; 22.8*; 22.9*; 22.10*; 22.11*; 22.12*);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23.36*);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24.31*); Устройство автомобильных дорог и </w:t>
            </w:r>
            <w:proofErr w:type="spellStart"/>
            <w:r w:rsidR="005928F0" w:rsidRPr="005928F0">
              <w:rPr>
                <w:rFonts w:ascii="Times New Roman" w:hAnsi="Times New Roman"/>
                <w:sz w:val="18"/>
                <w:szCs w:val="18"/>
              </w:rPr>
              <w:t>аэродромодов</w:t>
            </w:r>
            <w:proofErr w:type="spellEnd"/>
            <w:r w:rsidR="005928F0" w:rsidRPr="005928F0">
              <w:rPr>
                <w:rFonts w:ascii="Times New Roman" w:hAnsi="Times New Roman"/>
                <w:sz w:val="18"/>
                <w:szCs w:val="18"/>
              </w:rPr>
              <w:t xml:space="preserve"> (25.1*; 25.2*; 25.3*; 25.4*; 25.5*; 25.6*; 25.7*; 25.8*); Устройство железнодорожных и трамвайных путей (26.1*; 26.2*; 26.3*; 26.4*; 26.5*; 26.6*; 26.7*; 26.8*); Устройство тоннелей, метрополитенов (27.1*; 27.2*; 27.3*; 27.4*; 27.5*; 27.6*; 27.7*); Устройство мостов, эстакад и путепроводов (29.1*; 29.2*; 29.3*; 29.4*; 29.5*; 29.6*; 29.7*); Гидротехнические работы, водолазные работы (30.1*; 30.2*; 30.3*; 30.4*; 30.5*; 30.6*; 30.7*; 30.8*; 30.9*; 30.10*; 30.11*); Промышленные печи и дымовые трубы (31.1*; 31.2*; 31.3*; 31.4*; 31.5*);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составляет до трех миллиардов рублей.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Дело о нарушении ООО Производственно-строительное предприятие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1.4 Положения о размере и порядке уплаты взносов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членами Союза «Первая Национальная Организация Строителей».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 w:rsidR="00E3303D">
              <w:rPr>
                <w:rFonts w:ascii="Times New Roman" w:hAnsi="Times New Roman"/>
                <w:sz w:val="18"/>
                <w:szCs w:val="18"/>
              </w:rPr>
              <w:t>25.08.2015 г., 29.09.2015 г. и 27.10.2015г.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861072" w:rsidRPr="00811EB8" w:rsidRDefault="00DE40A4" w:rsidP="005928F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0662">
              <w:rPr>
                <w:rFonts w:ascii="Times New Roman" w:hAnsi="Times New Roman"/>
                <w:sz w:val="18"/>
                <w:szCs w:val="18"/>
              </w:rPr>
              <w:t xml:space="preserve">Заседание по рассмотрению вопроса о привлечении </w:t>
            </w: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5D066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Производственно-строительное предприятие </w:t>
            </w: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D0662">
              <w:rPr>
                <w:rFonts w:ascii="Times New Roman" w:hAnsi="Times New Roman"/>
                <w:sz w:val="18"/>
                <w:szCs w:val="18"/>
              </w:rPr>
              <w:t>, к дисциплинарной ответственности отложить на 22.12.2015 г.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«МЕГАСИТИ инжиниринг», Республика Башкортостан, ИНН 0275071503,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E3303D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861072" w:rsidRPr="00811EB8" w:rsidRDefault="005928F0" w:rsidP="005928F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неустранением</w:t>
            </w:r>
            <w:proofErr w:type="spellEnd"/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МЕГАСИТИ инжиниринг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0887.03-2010-0275071503-C-009</w:t>
            </w:r>
            <w:r w:rsidR="00596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о допуске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МЕГАСИТИ инжиниринг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 w:rsidR="00596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Монтажные работы (23.1; 23.2; 23.3; 23.4; 23.5; 23.19; 23.20; 23.21; 23.22; 23.23; 23.24; 23.25; 23.26; 23.27; 23.28; 23.30; 23.32); Пусконаладочные работы (24.1; 24.2; 24.3; 24.4; 24.5; 24.6; 24.7; 24.8; 24.9; 24.10; 24.11; 24.12.; 24.13; 24.14; 24.23; 24.25; 24.26; 24.29; 24.30).  </w:t>
            </w:r>
          </w:p>
        </w:tc>
      </w:tr>
      <w:tr w:rsidR="00861072" w:rsidRPr="00811EB8" w:rsidTr="0071772A">
        <w:tc>
          <w:tcPr>
            <w:tcW w:w="425" w:type="dxa"/>
          </w:tcPr>
          <w:p w:rsidR="00861072" w:rsidRPr="00811EB8" w:rsidRDefault="00861072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861072" w:rsidRPr="00811EB8" w:rsidRDefault="00861072" w:rsidP="00861072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Дело о нарушении 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Строй-Трейдинг</w:t>
            </w:r>
            <w:proofErr w:type="spellEnd"/>
            <w:r w:rsidRPr="00811EB8">
              <w:rPr>
                <w:rFonts w:ascii="Times New Roman" w:hAnsi="Times New Roman"/>
                <w:sz w:val="18"/>
                <w:szCs w:val="18"/>
              </w:rPr>
              <w:t>», Республика Мордовия, ИНН 1327011933,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276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Внеплановая камеральная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861072" w:rsidRPr="00811EB8" w:rsidRDefault="00861072" w:rsidP="0086107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 xml:space="preserve"> Дисциплинарного комитета от </w:t>
            </w:r>
            <w:r w:rsidR="00E3303D">
              <w:rPr>
                <w:rFonts w:ascii="Times New Roman" w:hAnsi="Times New Roman"/>
                <w:sz w:val="18"/>
                <w:szCs w:val="18"/>
              </w:rPr>
              <w:t>25.08.2015 г., 29.09.2015 г. и 27.10.2015г.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4B6C">
              <w:rPr>
                <w:rFonts w:ascii="Times New Roman" w:hAnsi="Times New Roman"/>
                <w:sz w:val="18"/>
                <w:szCs w:val="18"/>
              </w:rPr>
              <w:t xml:space="preserve">В связи с исполнением </w:t>
            </w: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811EB8">
              <w:rPr>
                <w:rFonts w:ascii="Times New Roman" w:hAnsi="Times New Roman"/>
                <w:sz w:val="18"/>
                <w:szCs w:val="18"/>
              </w:rPr>
              <w:t>Строй-Трейдинг</w:t>
            </w:r>
            <w:proofErr w:type="spellEnd"/>
            <w:r w:rsidRPr="00634B6C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861072" w:rsidRPr="00811EB8" w:rsidRDefault="00861072" w:rsidP="005928F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303D" w:rsidRPr="00811EB8" w:rsidTr="0071772A">
        <w:tc>
          <w:tcPr>
            <w:tcW w:w="425" w:type="dxa"/>
          </w:tcPr>
          <w:p w:rsidR="00E3303D" w:rsidRPr="00811EB8" w:rsidRDefault="00E3303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E3303D" w:rsidRPr="00811EB8" w:rsidRDefault="00E3303D" w:rsidP="000569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«Ростовская энергетическая сервисная компания», Ярославская область, ИНН 7609021786, Правил контроля в области саморегулирования</w:t>
            </w:r>
          </w:p>
        </w:tc>
        <w:tc>
          <w:tcPr>
            <w:tcW w:w="1276" w:type="dxa"/>
          </w:tcPr>
          <w:p w:rsidR="00E3303D" w:rsidRPr="00811EB8" w:rsidRDefault="00E3303D" w:rsidP="000569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color w:val="000000"/>
                <w:sz w:val="18"/>
                <w:szCs w:val="18"/>
              </w:rPr>
              <w:t>плановая камеральная</w:t>
            </w:r>
          </w:p>
        </w:tc>
        <w:tc>
          <w:tcPr>
            <w:tcW w:w="2235" w:type="dxa"/>
          </w:tcPr>
          <w:p w:rsidR="00E3303D" w:rsidRPr="00811EB8" w:rsidRDefault="00E3303D" w:rsidP="00056924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E3303D" w:rsidRPr="00811EB8" w:rsidRDefault="00E3303D" w:rsidP="00056924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8"/>
                <w:szCs w:val="18"/>
              </w:rPr>
              <w:t>27.10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DE40A4" w:rsidRDefault="00DE40A4" w:rsidP="00DE40A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E3303D" w:rsidRPr="00811EB8" w:rsidRDefault="005928F0" w:rsidP="00DE40A4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устранением</w:t>
            </w:r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Ростовская энергетическая сервисная компания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возобнов</w:t>
            </w:r>
            <w:r w:rsidR="00DE40A4">
              <w:rPr>
                <w:rFonts w:ascii="Times New Roman" w:hAnsi="Times New Roman"/>
                <w:sz w:val="18"/>
                <w:szCs w:val="18"/>
              </w:rPr>
              <w:t>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действи</w:t>
            </w:r>
            <w:r w:rsidR="00DE40A4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Свидетельства № 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0833.03-2010-7609021786-C-009</w:t>
            </w:r>
            <w:r w:rsidR="00596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о допуске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Ростовская энергетическая сервисная компания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>к работам, которые оказывают влияние на безопасность объектов капитального строительства</w:t>
            </w:r>
            <w:r w:rsidR="00DE40A4">
              <w:rPr>
                <w:rFonts w:ascii="Times New Roman" w:hAnsi="Times New Roman"/>
                <w:sz w:val="18"/>
                <w:szCs w:val="18"/>
              </w:rPr>
              <w:t xml:space="preserve"> с 25.11.2015 г.</w:t>
            </w:r>
            <w:r w:rsidRPr="000D5502">
              <w:rPr>
                <w:rFonts w:ascii="Times New Roman" w:hAnsi="Times New Roman"/>
                <w:sz w:val="18"/>
                <w:szCs w:val="18"/>
              </w:rPr>
              <w:t xml:space="preserve">, в отношении следующих видов работ: 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Устройство внутренних инженерных систем и оборудования зданий и сооружений (15.5; 15.6); Устройство наружных электрических сетей и линий связи (20.1; 20.2; 20.5; 20.8; 20.10; 20.12); Пусконаладочные работы (24.4; 24.5; 24.6; 24.7; 24.8; 24.9).</w:t>
            </w:r>
          </w:p>
        </w:tc>
      </w:tr>
      <w:tr w:rsidR="00E3303D" w:rsidRPr="00811EB8" w:rsidTr="0071772A">
        <w:tc>
          <w:tcPr>
            <w:tcW w:w="425" w:type="dxa"/>
          </w:tcPr>
          <w:p w:rsidR="00E3303D" w:rsidRPr="00811EB8" w:rsidRDefault="00E3303D" w:rsidP="00C01F76">
            <w:pPr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E3303D" w:rsidRPr="00E3303D" w:rsidRDefault="00E3303D" w:rsidP="00056924">
            <w:pPr>
              <w:rPr>
                <w:rFonts w:ascii="Times New Roman" w:hAnsi="Times New Roman"/>
                <w:sz w:val="18"/>
                <w:szCs w:val="18"/>
              </w:rPr>
            </w:pPr>
            <w:r w:rsidRPr="00E3303D">
              <w:rPr>
                <w:rFonts w:ascii="Times New Roman" w:hAnsi="Times New Roman"/>
                <w:sz w:val="18"/>
                <w:szCs w:val="18"/>
              </w:rPr>
              <w:t xml:space="preserve">Дело о нарушении ООО «Фирма КОНСТРУКТИВ», Московская область, ИНН 5003080589, Положения о страховании членами Союза «Первая Национальная Организация </w:t>
            </w:r>
            <w:r w:rsidRPr="00E3303D">
              <w:rPr>
                <w:rFonts w:ascii="Times New Roman" w:hAnsi="Times New Roman"/>
                <w:sz w:val="18"/>
                <w:szCs w:val="18"/>
              </w:rPr>
              <w:lastRenderedPageBreak/>
              <w:t>Строителей» гражданской ответственности.</w:t>
            </w:r>
          </w:p>
        </w:tc>
        <w:tc>
          <w:tcPr>
            <w:tcW w:w="1276" w:type="dxa"/>
          </w:tcPr>
          <w:p w:rsidR="00E3303D" w:rsidRPr="00E3303D" w:rsidRDefault="00E3303D" w:rsidP="00056924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E3303D">
              <w:rPr>
                <w:rFonts w:ascii="Times New Roman" w:hAnsi="Times New Roman"/>
                <w:sz w:val="18"/>
                <w:szCs w:val="18"/>
              </w:rPr>
              <w:lastRenderedPageBreak/>
              <w:t>Внеплановая камеральная</w:t>
            </w:r>
          </w:p>
          <w:p w:rsidR="00E3303D" w:rsidRPr="00E3303D" w:rsidRDefault="00E3303D" w:rsidP="00056924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E3303D" w:rsidRPr="00E3303D" w:rsidRDefault="00E3303D" w:rsidP="00056924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E3303D">
              <w:rPr>
                <w:rFonts w:ascii="Times New Roman" w:hAnsi="Times New Roman"/>
                <w:sz w:val="18"/>
                <w:szCs w:val="18"/>
              </w:rPr>
              <w:t xml:space="preserve">Нарушение п. 2.2. Положения о страховании членами Союза «Первая Национальная Организация Строителей» </w:t>
            </w:r>
            <w:r w:rsidRPr="00E3303D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гражданской ответственности.</w:t>
            </w:r>
          </w:p>
          <w:p w:rsidR="00E3303D" w:rsidRPr="00E3303D" w:rsidRDefault="00E3303D" w:rsidP="009C2665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11EB8">
              <w:rPr>
                <w:rFonts w:ascii="Times New Roman" w:hAnsi="Times New Roman"/>
                <w:sz w:val="18"/>
                <w:szCs w:val="18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 w:rsidR="009C2665">
              <w:rPr>
                <w:rFonts w:ascii="Times New Roman" w:hAnsi="Times New Roman"/>
                <w:sz w:val="18"/>
                <w:szCs w:val="18"/>
              </w:rPr>
              <w:t>25.08</w:t>
            </w:r>
            <w:r w:rsidRPr="00811EB8">
              <w:rPr>
                <w:rFonts w:ascii="Times New Roman" w:hAnsi="Times New Roman"/>
                <w:sz w:val="18"/>
                <w:szCs w:val="18"/>
              </w:rPr>
              <w:t>.2015г.)</w:t>
            </w:r>
          </w:p>
        </w:tc>
        <w:tc>
          <w:tcPr>
            <w:tcW w:w="4536" w:type="dxa"/>
          </w:tcPr>
          <w:p w:rsidR="005928F0" w:rsidRDefault="00DE40A4" w:rsidP="005928F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</w:t>
            </w:r>
            <w:r w:rsidR="005928F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303D" w:rsidRPr="00811EB8" w:rsidRDefault="005928F0" w:rsidP="009C266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связи с устранением 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5928F0">
              <w:rPr>
                <w:rFonts w:ascii="Times New Roman" w:hAnsi="Times New Roman"/>
                <w:sz w:val="18"/>
                <w:szCs w:val="18"/>
              </w:rPr>
              <w:t>Фирма КОНСТРУКТИВ</w:t>
            </w:r>
            <w:r w:rsidRPr="0011386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нарушений, послуживших основанием для приостановления действия свидетельства о допуске, </w:t>
            </w:r>
            <w:r w:rsidR="009C2665">
              <w:rPr>
                <w:rFonts w:ascii="Times New Roman" w:hAnsi="Times New Roman"/>
                <w:sz w:val="18"/>
                <w:szCs w:val="18"/>
              </w:rPr>
              <w:t xml:space="preserve">возобновить с 25.11.2015 г. действие Свидетельства № </w:t>
            </w:r>
            <w:r w:rsidR="009C2665" w:rsidRPr="009C2665">
              <w:rPr>
                <w:rFonts w:ascii="Times New Roman" w:hAnsi="Times New Roman"/>
                <w:sz w:val="18"/>
                <w:szCs w:val="18"/>
              </w:rPr>
              <w:t>0633.04-2010-5003080589-C-009</w:t>
            </w:r>
            <w:r w:rsidR="00596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2665" w:rsidRPr="009C2665">
              <w:rPr>
                <w:rFonts w:ascii="Times New Roman" w:hAnsi="Times New Roman"/>
                <w:sz w:val="18"/>
                <w:szCs w:val="18"/>
              </w:rPr>
              <w:t>о допуске ООО «Фирма КОНСТРУКТИВ»</w:t>
            </w:r>
            <w:r w:rsidR="00DE4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2665" w:rsidRPr="009C2665">
              <w:rPr>
                <w:rFonts w:ascii="Times New Roman" w:hAnsi="Times New Roman"/>
                <w:sz w:val="18"/>
                <w:szCs w:val="18"/>
              </w:rPr>
              <w:t xml:space="preserve">к работам, которые </w:t>
            </w:r>
            <w:r w:rsidR="009C2665" w:rsidRPr="009C266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оказывают влияние на безопасность объектов капитального строительства, </w:t>
            </w:r>
            <w:bookmarkStart w:id="0" w:name="_GoBack"/>
            <w:bookmarkEnd w:id="0"/>
            <w:r w:rsidR="009C2665" w:rsidRPr="009C2665">
              <w:rPr>
                <w:rFonts w:ascii="Times New Roman" w:hAnsi="Times New Roman"/>
                <w:sz w:val="18"/>
                <w:szCs w:val="18"/>
              </w:rPr>
              <w:t>в отношении следующих видов работ: Подготовительные работы (2.1; 2.4); Монтаж металлических конструкций (10.1).</w:t>
            </w:r>
          </w:p>
        </w:tc>
      </w:tr>
    </w:tbl>
    <w:p w:rsidR="00312BEE" w:rsidRPr="00811EB8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Председатель  </w:t>
      </w: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</w:t>
      </w:r>
      <w:r w:rsidR="004255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Г.С. Михайлов</w:t>
      </w:r>
    </w:p>
    <w:p w:rsidR="00BF296B" w:rsidRPr="00811EB8" w:rsidRDefault="00BF296B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7C7B75" w:rsidRPr="00811EB8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8E6699" w:rsidRPr="00811EB8" w:rsidRDefault="008E6699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811EB8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811EB8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          </w:t>
      </w:r>
      <w:r w:rsidR="00425584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811EB8">
        <w:rPr>
          <w:rFonts w:ascii="Times New Roman" w:hAnsi="Times New Roman"/>
          <w:sz w:val="18"/>
          <w:szCs w:val="18"/>
        </w:rPr>
        <w:t xml:space="preserve">  Р.Б.</w:t>
      </w:r>
      <w:r w:rsidR="00DE40A4">
        <w:rPr>
          <w:rFonts w:ascii="Times New Roman" w:hAnsi="Times New Roman"/>
          <w:sz w:val="18"/>
          <w:szCs w:val="18"/>
        </w:rPr>
        <w:t xml:space="preserve"> </w:t>
      </w:r>
      <w:r w:rsidRPr="00811EB8">
        <w:rPr>
          <w:rFonts w:ascii="Times New Roman" w:hAnsi="Times New Roman"/>
          <w:sz w:val="18"/>
          <w:szCs w:val="18"/>
        </w:rPr>
        <w:t>Маматохунова</w:t>
      </w:r>
    </w:p>
    <w:sectPr w:rsidR="00103E7E" w:rsidRPr="00811EB8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62" w:rsidRDefault="005D0662" w:rsidP="00C31EC5">
      <w:pPr>
        <w:spacing w:after="0" w:line="240" w:lineRule="auto"/>
      </w:pPr>
      <w:r>
        <w:separator/>
      </w:r>
    </w:p>
  </w:endnote>
  <w:endnote w:type="continuationSeparator" w:id="1">
    <w:p w:rsidR="005D0662" w:rsidRDefault="005D0662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D0662" w:rsidRPr="00C31EC5" w:rsidRDefault="00C62AE8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5D0662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E037B9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D0662" w:rsidRDefault="005D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62" w:rsidRDefault="005D0662" w:rsidP="00C31EC5">
      <w:pPr>
        <w:spacing w:after="0" w:line="240" w:lineRule="auto"/>
      </w:pPr>
      <w:r>
        <w:separator/>
      </w:r>
    </w:p>
  </w:footnote>
  <w:footnote w:type="continuationSeparator" w:id="1">
    <w:p w:rsidR="005D0662" w:rsidRDefault="005D0662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4C5"/>
    <w:rsid w:val="0004782C"/>
    <w:rsid w:val="0005272E"/>
    <w:rsid w:val="00052DC0"/>
    <w:rsid w:val="00052F9B"/>
    <w:rsid w:val="00053CB5"/>
    <w:rsid w:val="00056924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5F2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52D"/>
    <w:rsid w:val="000D1461"/>
    <w:rsid w:val="000D1693"/>
    <w:rsid w:val="000D4B9E"/>
    <w:rsid w:val="000D5502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42EA"/>
    <w:rsid w:val="00205939"/>
    <w:rsid w:val="00207089"/>
    <w:rsid w:val="00207A36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BEB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57B"/>
    <w:rsid w:val="003C7E67"/>
    <w:rsid w:val="003E067C"/>
    <w:rsid w:val="003E0877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3605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483"/>
    <w:rsid w:val="007105A1"/>
    <w:rsid w:val="0071297E"/>
    <w:rsid w:val="00713DA2"/>
    <w:rsid w:val="00714753"/>
    <w:rsid w:val="00714F7E"/>
    <w:rsid w:val="00715D0A"/>
    <w:rsid w:val="0071772A"/>
    <w:rsid w:val="00717BFF"/>
    <w:rsid w:val="007200D1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3EC7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072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7ED1"/>
    <w:rsid w:val="008D1631"/>
    <w:rsid w:val="008D4309"/>
    <w:rsid w:val="008D4C04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036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2665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548C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47F67"/>
    <w:rsid w:val="00A50DA2"/>
    <w:rsid w:val="00A5158D"/>
    <w:rsid w:val="00A528BA"/>
    <w:rsid w:val="00A535FC"/>
    <w:rsid w:val="00A536AE"/>
    <w:rsid w:val="00A54C34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386B"/>
    <w:rsid w:val="00A74B1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859"/>
    <w:rsid w:val="00AE0950"/>
    <w:rsid w:val="00AE0FE5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699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6CF"/>
    <w:rsid w:val="00C55CB3"/>
    <w:rsid w:val="00C5794D"/>
    <w:rsid w:val="00C605F2"/>
    <w:rsid w:val="00C6138A"/>
    <w:rsid w:val="00C61558"/>
    <w:rsid w:val="00C61C4D"/>
    <w:rsid w:val="00C61EC2"/>
    <w:rsid w:val="00C61F05"/>
    <w:rsid w:val="00C62AE8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7AA4"/>
    <w:rsid w:val="00DF195C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37B9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1C67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8B3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B989-3332-4C41-B7B0-DBFFEAD3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9</cp:revision>
  <cp:lastPrinted>2015-11-25T07:44:00Z</cp:lastPrinted>
  <dcterms:created xsi:type="dcterms:W3CDTF">2015-11-24T19:49:00Z</dcterms:created>
  <dcterms:modified xsi:type="dcterms:W3CDTF">2015-11-25T13:58:00Z</dcterms:modified>
</cp:coreProperties>
</file>